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513128</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Prague, Czech Republic</w:t>
      </w:r>
      <w:r>
        <w:rPr>
          <w:rFonts w:hint="default"/>
          <w:b/>
          <w:sz w:val="24"/>
          <w:szCs w:val="24"/>
          <w:highlight w:val="none"/>
          <w:lang w:eastAsia="zh-CN"/>
        </w:rPr>
        <w:t xml:space="preserve">, </w:t>
      </w:r>
      <w:r>
        <w:rPr>
          <w:b/>
          <w:sz w:val="24"/>
          <w:szCs w:val="24"/>
          <w:highlight w:val="none"/>
          <w:lang w:eastAsia="zh-CN"/>
        </w:rPr>
        <w:t>Oct. 13-17, 2025</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last RAN4 meeting, there was discussion about RAN4 6G topic planning based on 6G SID, RAN4 6G plan and meeting arrangement was approved [2]. one of the 6G topics is RAN4 operation effciency, including CR/specification improvement.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2"/>
          <w:highlight w:val="none"/>
          <w:lang w:val="en-US" w:eastAsia="zh-CN"/>
        </w:rPr>
        <w:t>this topic</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5FB47B6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Rel-19, RAN4 organized discussion for improving the RAN4 specification based on RAN request [3]. The motivation is to improve RAN4 specification including 38.133 and 38.101-1/38.101-2/38.101-3 for Rel-19 for 5G. Based on the Rel-19 discussion, the following editorial aspects are identified and agreed to be addressed within R19 timeframe. For 6GR specification, these aspects need to be avoided from the first version of spec.</w:t>
      </w:r>
    </w:p>
    <w:p w14:paraId="178DC090">
      <w:pPr>
        <w:pStyle w:val="15"/>
        <w:numPr>
          <w:ilvl w:val="0"/>
          <w:numId w:val="5"/>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iCs/>
          <w:sz w:val="20"/>
          <w:szCs w:val="20"/>
          <w:lang w:val="en-US"/>
        </w:rPr>
        <w:t>Terminology/style inconsistency, incorrect notation/symbols/abbreviation, undefined abbreviations, redundant information/notes</w:t>
      </w:r>
    </w:p>
    <w:p w14:paraId="26B19886">
      <w:pPr>
        <w:pStyle w:val="15"/>
        <w:numPr>
          <w:ilvl w:val="0"/>
          <w:numId w:val="5"/>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Clean up [], ‘TBD’, ‘FFS’, empty test cases</w:t>
      </w:r>
    </w:p>
    <w:p w14:paraId="7B8611B0">
      <w:pPr>
        <w:spacing w:after="180" w:line="240" w:lineRule="exact"/>
        <w:rPr>
          <w:rFonts w:hint="default" w:ascii="Times New Roman" w:hAnsi="Times New Roman" w:eastAsia="等线"/>
          <w:bCs/>
          <w:iCs/>
          <w:sz w:val="20"/>
          <w:szCs w:val="20"/>
          <w:lang w:val="en-US" w:eastAsia="zh-CN"/>
        </w:rPr>
      </w:pP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Taking Rel-19 agreements on spec improvements into account, it is proposed that following aspects need to be avoided for RAN4 6GR specification  </w:t>
      </w:r>
    </w:p>
    <w:p w14:paraId="0EED27BD">
      <w:pPr>
        <w:pStyle w:val="15"/>
        <w:numPr>
          <w:ilvl w:val="0"/>
          <w:numId w:val="5"/>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1D6FF7F1">
      <w:pPr>
        <w:pStyle w:val="15"/>
        <w:numPr>
          <w:ilvl w:val="0"/>
          <w:numId w:val="5"/>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502DDEFB">
      <w:pPr>
        <w:spacing w:after="180" w:line="240" w:lineRule="exact"/>
        <w:rPr>
          <w:rFonts w:hint="eastAsia" w:ascii="Times New Roman" w:hAnsi="Times New Roman" w:eastAsia="等线"/>
          <w:bCs/>
          <w:iCs/>
          <w:sz w:val="20"/>
          <w:szCs w:val="20"/>
          <w:lang w:val="en-US" w:eastAsia="zh-CN"/>
        </w:rPr>
      </w:pPr>
    </w:p>
    <w:p w14:paraId="15C7A1D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issue on specification readability is hierarchy of indent. Taking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SCell Activation Delay Requirement for Deactivated SCell” of TS38.133 as an example. Part of the current spec paragraphs are duplicated as below.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0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9059362">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TS 38.133 section 8.3.2</w:t>
            </w:r>
          </w:p>
          <w:p w14:paraId="27B901CC">
            <w:pPr>
              <w:rPr>
                <w:rFonts w:hint="default" w:ascii="Times New Roman" w:hAnsi="Times New Roman" w:cs="Times New Roman"/>
                <w:sz w:val="20"/>
                <w:szCs w:val="20"/>
              </w:rPr>
            </w:pPr>
            <w:r>
              <w:rPr>
                <w:rFonts w:hint="default" w:ascii="Times New Roman" w:hAnsi="Times New Roman" w:cs="Times New Roman"/>
                <w:sz w:val="20"/>
                <w:szCs w:val="20"/>
              </w:rPr>
              <w:t xml:space="preserve">Upon receiving SCell activation command in slot </w:t>
            </w:r>
            <w:r>
              <w:rPr>
                <w:rFonts w:hint="default" w:ascii="Times New Roman" w:hAnsi="Times New Roman" w:cs="Times New Roman"/>
                <w:i/>
                <w:sz w:val="20"/>
                <w:szCs w:val="20"/>
              </w:rPr>
              <w:t>n</w:t>
            </w:r>
            <w:r>
              <w:rPr>
                <w:rFonts w:hint="default" w:ascii="Times New Roman" w:hAnsi="Times New Roman" w:cs="Times New Roman"/>
                <w:sz w:val="20"/>
                <w:szCs w:val="20"/>
              </w:rPr>
              <w:t xml:space="preserve">, the UE shall be capable to transmit valid CSI report and apply actions related to the activation command for the SCell being activated no later than in slot </w:t>
            </w:r>
            <m:oMath>
              <m:r>
                <m:rPr>
                  <m:sty m:val="p"/>
                </m:rPr>
                <w:rPr>
                  <w:rFonts w:hint="default" w:ascii="Cambria Math" w:hAnsi="Cambria Math" w:cs="Times New Roman"/>
                  <w:sz w:val="20"/>
                  <w:szCs w:val="20"/>
                </w:rPr>
                <m:t>n+</m:t>
              </m:r>
              <m:f>
                <m:fPr>
                  <m:ctrlPr>
                    <w:rPr>
                      <w:rFonts w:hint="default" w:ascii="Cambria Math" w:hAnsi="Cambria Math" w:cs="Times New Roman"/>
                      <w:sz w:val="20"/>
                      <w:szCs w:val="20"/>
                    </w:rPr>
                  </m:ctrlPr>
                </m:fPr>
                <m:num>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HARQ</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activation_time</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CSI_Reporting</m:t>
                      </m:r>
                      <m:ctrlPr>
                        <w:rPr>
                          <w:rFonts w:hint="default" w:ascii="Cambria Math" w:hAnsi="Cambria Math" w:cs="Times New Roman"/>
                          <w:i/>
                          <w:sz w:val="20"/>
                          <w:szCs w:val="20"/>
                        </w:rPr>
                      </m:ctrlPr>
                    </m:sub>
                  </m:sSub>
                  <m:ctrlPr>
                    <w:rPr>
                      <w:rFonts w:hint="default" w:ascii="Cambria Math" w:hAnsi="Cambria Math" w:cs="Times New Roman"/>
                      <w:sz w:val="20"/>
                      <w:szCs w:val="20"/>
                    </w:rPr>
                  </m:ctrlPr>
                </m:num>
                <m:den>
                  <m:r>
                    <m:rPr/>
                    <w:rPr>
                      <w:rFonts w:hint="default" w:ascii="Cambria Math" w:hAnsi="Cambria Math" w:cs="Times New Roman"/>
                      <w:sz w:val="20"/>
                      <w:szCs w:val="20"/>
                    </w:rPr>
                    <m:t>NR slot lengtℎ</m:t>
                  </m:r>
                  <m:ctrlPr>
                    <w:rPr>
                      <w:rFonts w:hint="default" w:ascii="Cambria Math" w:hAnsi="Cambria Math" w:cs="Times New Roman"/>
                      <w:sz w:val="20"/>
                      <w:szCs w:val="20"/>
                    </w:rPr>
                  </m:ctrlPr>
                </m:den>
              </m:f>
            </m:oMath>
            <w:r>
              <w:rPr>
                <w:rFonts w:hint="default" w:ascii="Times New Roman" w:hAnsi="Times New Roman" w:cs="Times New Roman"/>
                <w:sz w:val="20"/>
                <w:szCs w:val="20"/>
              </w:rPr>
              <w:t xml:space="preserve"> , where:</w:t>
            </w:r>
          </w:p>
          <w:p w14:paraId="7F86AC8C">
            <w:pPr>
              <w:pStyle w:val="18"/>
              <w:rPr>
                <w:rFonts w:hint="default" w:ascii="Times New Roman" w:hAnsi="Times New Roman" w:cs="Times New Roman"/>
                <w:sz w:val="20"/>
                <w:szCs w:val="20"/>
                <w:u w:val="single"/>
              </w:rPr>
            </w:pP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rPr>
              <w:t xml:space="preserve"> (in ms) is the timing between DL data transmission and acknowledgement as specified in TS 38.213 [3]</w:t>
            </w:r>
          </w:p>
          <w:p w14:paraId="6C9674F6">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activation_time</w:t>
            </w:r>
            <w:r>
              <w:rPr>
                <w:rFonts w:hint="default" w:ascii="Times New Roman" w:hAnsi="Times New Roman" w:cs="Times New Roman"/>
                <w:sz w:val="20"/>
                <w:szCs w:val="20"/>
                <w:lang w:eastAsia="en-GB"/>
              </w:rPr>
              <w:t xml:space="preserve"> is the SCell activation delay in milliseconds.</w:t>
            </w:r>
          </w:p>
          <w:p w14:paraId="6311F62E">
            <w:pPr>
              <w:pStyle w:val="19"/>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If the SCell is known and belongs to FR1,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3D357CF2">
            <w:pPr>
              <w:pStyle w:val="2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+ 5 ms, if the measurement period of the SCell being activated is equal to or smaller than 2400 ms.</w:t>
            </w:r>
          </w:p>
          <w:p w14:paraId="764292FE">
            <w:pPr>
              <w:pStyle w:val="2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+ 5 ms, if the measurement period of the SCell being activated is larger than 2400 ms.</w:t>
            </w:r>
          </w:p>
          <w:p w14:paraId="04AF38FD">
            <w:pPr>
              <w:ind w:left="568" w:hanging="284"/>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en-GB"/>
              </w:rPr>
              <w:tab/>
            </w:r>
            <w:r>
              <w:rPr>
                <w:rFonts w:hint="default" w:ascii="Times New Roman" w:hAnsi="Times New Roman" w:eastAsia="Malgun Gothic" w:cs="Times New Roman"/>
                <w:sz w:val="20"/>
                <w:szCs w:val="20"/>
                <w:lang w:eastAsia="en-GB"/>
              </w:rPr>
              <w:tab/>
            </w:r>
            <w:r>
              <w:rPr>
                <w:rFonts w:hint="default" w:ascii="Times New Roman" w:hAnsi="Times New Roman" w:eastAsia="Malgun Gothic" w:cs="Times New Roman"/>
                <w:sz w:val="20"/>
                <w:szCs w:val="20"/>
                <w:lang w:eastAsia="en-GB"/>
              </w:rPr>
              <w:t>If the SCell is unknown and belongs to FR1,</w:t>
            </w:r>
            <w:r>
              <w:rPr>
                <w:rFonts w:hint="default" w:ascii="Times New Roman" w:hAnsi="Times New Roman" w:eastAsia="Calibri" w:cs="Times New Roman"/>
                <w:sz w:val="20"/>
                <w:szCs w:val="20"/>
                <w:lang w:eastAsia="en-GB"/>
              </w:rPr>
              <w:t xml:space="preserve"> </w:t>
            </w:r>
            <w:r>
              <w:rPr>
                <w:rFonts w:hint="default" w:ascii="Times New Roman" w:hAnsi="Times New Roman" w:eastAsia="Malgun Gothic" w:cs="Times New Roman"/>
                <w:sz w:val="20"/>
                <w:szCs w:val="20"/>
                <w:lang w:eastAsia="zh-CN"/>
              </w:rPr>
              <w:t>and if one of the following conditions is met</w:t>
            </w:r>
          </w:p>
          <w:p w14:paraId="5129F130">
            <w:pPr>
              <w:ind w:left="851" w:hanging="284"/>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 xml:space="preserve"> ‘ssb-PositionInBurst’ indicates only one SSB is being actually transmitted, or</w:t>
            </w:r>
          </w:p>
          <w:p w14:paraId="24BA068E">
            <w:pPr>
              <w:pStyle w:val="19"/>
              <w:rPr>
                <w:rFonts w:hint="default" w:ascii="Times New Roman" w:hAnsi="Times New Roman" w:cs="Times New Roman"/>
                <w:sz w:val="20"/>
                <w:szCs w:val="20"/>
              </w:rPr>
            </w:pP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 xml:space="preserve"> ‘ssb-PositionInBurst’ indicates multiple SSBs and TCI indication is provided in same MAC PDU with SCell activation,</w:t>
            </w:r>
          </w:p>
          <w:p w14:paraId="2B419EFB">
            <w:pPr>
              <w:pStyle w:val="19"/>
              <w:rPr>
                <w:rFonts w:hint="default" w:ascii="Times New Roman" w:hAnsi="Times New Roman" w:cs="Times New Roman"/>
                <w:sz w:val="20"/>
                <w:szCs w:val="20"/>
              </w:rPr>
            </w:pPr>
            <w:r>
              <w:rPr>
                <w:rFonts w:hint="default" w:ascii="Times New Roman" w:hAnsi="Times New Roman" w:cs="Times New Roman" w:eastAsiaTheme="minorEastAsia"/>
                <w:sz w:val="20"/>
                <w:szCs w:val="20"/>
              </w:rPr>
              <w:tab/>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eastAsiaTheme="minorEastAsia"/>
                <w:sz w:val="20"/>
                <w:szCs w:val="20"/>
              </w:rPr>
              <w:t>Ês/Iot ≥ -2 dB is fulfilled, T</w:t>
            </w:r>
            <w:r>
              <w:rPr>
                <w:rFonts w:hint="default" w:ascii="Times New Roman" w:hAnsi="Times New Roman" w:cs="Times New Roman" w:eastAsiaTheme="minorEastAsia"/>
                <w:sz w:val="20"/>
                <w:szCs w:val="20"/>
                <w:vertAlign w:val="subscript"/>
              </w:rPr>
              <w:t>activation_time</w:t>
            </w:r>
            <w:r>
              <w:rPr>
                <w:rFonts w:hint="default" w:ascii="Times New Roman" w:hAnsi="Times New Roman" w:cs="Times New Roman" w:eastAsiaTheme="minorEastAsia"/>
                <w:sz w:val="20"/>
                <w:szCs w:val="20"/>
              </w:rPr>
              <w:t xml:space="preserve"> is</w:t>
            </w:r>
            <w:r>
              <w:rPr>
                <w:rFonts w:hint="default" w:ascii="Times New Roman" w:hAnsi="Times New Roman" w:cs="Times New Roman"/>
                <w:sz w:val="20"/>
                <w:szCs w:val="20"/>
              </w:rPr>
              <w:t>:</w:t>
            </w:r>
          </w:p>
          <w:p w14:paraId="205EDD76">
            <w:pPr>
              <w:pStyle w:val="2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w:t>
            </w:r>
            <w:r>
              <w:rPr>
                <w:rFonts w:hint="default" w:ascii="Times New Roman" w:hAnsi="Times New Roman" w:cs="Times New Roman"/>
                <w:sz w:val="20"/>
                <w:szCs w:val="20"/>
                <w:lang w:eastAsia="zh-CN"/>
              </w:rPr>
              <w:t xml:space="preserve">f UE supports </w:t>
            </w:r>
            <w:r>
              <w:rPr>
                <w:rFonts w:hint="default" w:ascii="Times New Roman" w:hAnsi="Times New Roman" w:cs="Times New Roman"/>
                <w:i/>
                <w:sz w:val="20"/>
                <w:szCs w:val="20"/>
                <w:lang w:eastAsia="zh-CN"/>
              </w:rPr>
              <w:t>shortMeasInterval-r18</w:t>
            </w:r>
            <w:r>
              <w:rPr>
                <w:rFonts w:hint="default" w:ascii="Times New Roman" w:hAnsi="Times New Roman" w:cs="Times New Roman"/>
                <w:sz w:val="20"/>
                <w:szCs w:val="20"/>
                <w:lang w:eastAsia="zh-CN"/>
              </w:rPr>
              <w:t>, then</w:t>
            </w:r>
          </w:p>
          <w:p w14:paraId="7C1EFF73">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 enhanced</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enhanced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rs, enhanced</w:t>
            </w:r>
            <w:r>
              <w:rPr>
                <w:rFonts w:hint="default" w:ascii="Times New Roman" w:hAnsi="Times New Roman" w:cs="Times New Roman"/>
                <w:sz w:val="20"/>
                <w:szCs w:val="20"/>
                <w:lang w:eastAsia="zh-CN"/>
              </w:rPr>
              <w:t xml:space="preserve"> + 5 ms</w:t>
            </w:r>
            <w:r>
              <w:rPr>
                <w:rFonts w:hint="default" w:ascii="Times New Roman" w:hAnsi="Times New Roman" w:cs="Times New Roman"/>
                <w:sz w:val="20"/>
                <w:szCs w:val="20"/>
              </w:rPr>
              <w:t xml:space="preserve">, if the following conditions are met, </w:t>
            </w:r>
          </w:p>
          <w:p w14:paraId="4C3ADA69">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the SCell is</w:t>
            </w:r>
            <w:r>
              <w:rPr>
                <w:rFonts w:hint="default" w:ascii="Times New Roman" w:hAnsi="Times New Roman" w:cs="Times New Roman"/>
                <w:sz w:val="20"/>
                <w:szCs w:val="20"/>
                <w:lang w:eastAsia="zh-CN"/>
              </w:rPr>
              <w:t xml:space="preserve"> contiguous to an active serving cell in the same band, and</w:t>
            </w:r>
          </w:p>
          <w:p w14:paraId="08D9BCE6">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its </w:t>
            </w:r>
            <w:r>
              <w:rPr>
                <w:rFonts w:hint="default" w:ascii="Times New Roman" w:hAnsi="Times New Roman" w:cs="Times New Roman"/>
                <w:i/>
                <w:iCs/>
                <w:sz w:val="20"/>
                <w:szCs w:val="20"/>
                <w:lang w:eastAsia="zh-CN"/>
              </w:rPr>
              <w:t>ssb-PositionInBurst</w:t>
            </w:r>
            <w:r>
              <w:rPr>
                <w:rFonts w:hint="default" w:ascii="Times New Roman" w:hAnsi="Times New Roman" w:cs="Times New Roman"/>
                <w:sz w:val="20"/>
                <w:szCs w:val="20"/>
                <w:lang w:eastAsia="zh-CN"/>
              </w:rPr>
              <w:t xml:space="preserve"> is same as the one of contiguous FR1 active serving cell, and</w:t>
            </w:r>
          </w:p>
          <w:p w14:paraId="2430735C">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its SMTC offset is same as the one of contiguous FR1 active serving cell, and </w:t>
            </w:r>
          </w:p>
          <w:p w14:paraId="71C665EA">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6340A583">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 enhanced</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enhanced </w:t>
            </w:r>
            <w:r>
              <w:rPr>
                <w:rFonts w:hint="default" w:ascii="Times New Roman" w:hAnsi="Times New Roman" w:cs="Times New Roman"/>
                <w:sz w:val="20"/>
                <w:szCs w:val="20"/>
                <w:lang w:eastAsia="zh-CN"/>
              </w:rPr>
              <w:t>+ 2*T</w:t>
            </w:r>
            <w:r>
              <w:rPr>
                <w:rFonts w:hint="default" w:ascii="Times New Roman" w:hAnsi="Times New Roman" w:cs="Times New Roman"/>
                <w:sz w:val="20"/>
                <w:szCs w:val="20"/>
                <w:vertAlign w:val="subscript"/>
                <w:lang w:eastAsia="zh-CN"/>
              </w:rPr>
              <w:t>rs, enhanced</w:t>
            </w:r>
            <w:r>
              <w:rPr>
                <w:rFonts w:hint="default" w:ascii="Times New Roman" w:hAnsi="Times New Roman" w:cs="Times New Roman"/>
                <w:sz w:val="20"/>
                <w:szCs w:val="20"/>
                <w:lang w:eastAsia="zh-CN"/>
              </w:rPr>
              <w:t xml:space="preserve"> + 5 ms, otherwise</w:t>
            </w:r>
            <w:r>
              <w:rPr>
                <w:rFonts w:hint="default" w:ascii="Times New Roman" w:hAnsi="Times New Roman" w:cs="Times New Roman"/>
                <w:sz w:val="20"/>
                <w:szCs w:val="20"/>
              </w:rPr>
              <w:t>.</w:t>
            </w:r>
          </w:p>
          <w:p w14:paraId="421A74D2">
            <w:pPr>
              <w:pStyle w:val="2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Otherwise</w:t>
            </w:r>
          </w:p>
          <w:p w14:paraId="0F7CDDB3">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rs</w:t>
            </w:r>
            <w:r>
              <w:rPr>
                <w:rFonts w:hint="default" w:ascii="Times New Roman" w:hAnsi="Times New Roman" w:cs="Times New Roman"/>
                <w:sz w:val="20"/>
                <w:szCs w:val="20"/>
                <w:lang w:eastAsia="zh-CN"/>
              </w:rPr>
              <w:t xml:space="preserve"> + 5 ms</w:t>
            </w:r>
            <w:r>
              <w:rPr>
                <w:rFonts w:hint="default" w:ascii="Times New Roman" w:hAnsi="Times New Roman" w:cs="Times New Roman"/>
                <w:sz w:val="20"/>
                <w:szCs w:val="20"/>
              </w:rPr>
              <w:t xml:space="preserve">, if the following conditions are met, </w:t>
            </w:r>
          </w:p>
          <w:p w14:paraId="298202B1">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the SCell is</w:t>
            </w:r>
            <w:r>
              <w:rPr>
                <w:rFonts w:hint="default" w:ascii="Times New Roman" w:hAnsi="Times New Roman" w:cs="Times New Roman"/>
                <w:sz w:val="20"/>
                <w:szCs w:val="20"/>
                <w:lang w:eastAsia="zh-CN"/>
              </w:rPr>
              <w:t xml:space="preserve"> contiguous to an active serving cell in the same band, and</w:t>
            </w:r>
          </w:p>
          <w:p w14:paraId="41EB0E8B">
            <w:pPr>
              <w:pStyle w:val="29"/>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 xml:space="preserve">its </w:t>
            </w:r>
            <w:r>
              <w:rPr>
                <w:rFonts w:hint="default" w:ascii="Times New Roman" w:hAnsi="Times New Roman" w:cs="Times New Roman" w:eastAsiaTheme="minorEastAsia"/>
                <w:i/>
                <w:iCs/>
                <w:sz w:val="20"/>
                <w:szCs w:val="20"/>
                <w:lang w:eastAsia="zh-CN"/>
              </w:rPr>
              <w:t>ssb-PositionInBurst</w:t>
            </w:r>
            <w:r>
              <w:rPr>
                <w:rFonts w:hint="default" w:ascii="Times New Roman" w:hAnsi="Times New Roman" w:cs="Times New Roman" w:eastAsiaTheme="minorEastAsia"/>
                <w:sz w:val="20"/>
                <w:szCs w:val="20"/>
                <w:lang w:eastAsia="zh-CN"/>
              </w:rPr>
              <w:t xml:space="preserve"> is same as the one of contiguous FR1 active serving cell, an</w:t>
            </w:r>
            <w:r>
              <w:rPr>
                <w:rFonts w:hint="default" w:ascii="Times New Roman" w:hAnsi="Times New Roman" w:cs="Times New Roman"/>
                <w:sz w:val="20"/>
                <w:szCs w:val="20"/>
                <w:lang w:eastAsia="zh-CN"/>
              </w:rPr>
              <w:t>d</w:t>
            </w:r>
          </w:p>
          <w:p w14:paraId="7199BCEA">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its SMTC offset is same as the one of contiguous FR1 active serving cell, and </w:t>
            </w:r>
          </w:p>
          <w:p w14:paraId="02E48A6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its RTD with contiguous FR1 active serving cell is smaller than or equal to 260 ns, and its reception power difference with contiguous FR1 active serving cell is smaller than or equal to 6 dB;</w:t>
            </w:r>
          </w:p>
          <w:p w14:paraId="4F7E4981">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w:t>
            </w:r>
            <w:r>
              <w:rPr>
                <w:rFonts w:hint="default" w:ascii="Times New Roman" w:hAnsi="Times New Roman" w:cs="Times New Roman"/>
                <w:sz w:val="20"/>
                <w:szCs w:val="20"/>
                <w:lang w:eastAsia="zh-CN"/>
              </w:rPr>
              <w:t>+ 2*T</w:t>
            </w:r>
            <w:r>
              <w:rPr>
                <w:rFonts w:hint="default" w:ascii="Times New Roman" w:hAnsi="Times New Roman" w:cs="Times New Roman"/>
                <w:sz w:val="20"/>
                <w:szCs w:val="20"/>
                <w:vertAlign w:val="subscript"/>
                <w:lang w:eastAsia="zh-CN"/>
              </w:rPr>
              <w:t>rs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lang w:eastAsia="zh-CN"/>
              </w:rPr>
              <w:t>+ 5 ms, otherwise</w:t>
            </w:r>
            <w:r>
              <w:rPr>
                <w:rFonts w:hint="default" w:ascii="Times New Roman" w:hAnsi="Times New Roman" w:cs="Times New Roman"/>
                <w:sz w:val="20"/>
                <w:szCs w:val="20"/>
              </w:rPr>
              <w:t>.</w:t>
            </w:r>
          </w:p>
          <w:p w14:paraId="71069CBA">
            <w:pPr>
              <w:pStyle w:val="20"/>
              <w:rPr>
                <w:rFonts w:hint="default" w:ascii="Times New Roman" w:hAnsi="Times New Roman" w:cs="Times New Roman"/>
                <w:sz w:val="20"/>
                <w:szCs w:val="20"/>
              </w:rPr>
            </w:pPr>
            <w:r>
              <w:rPr>
                <w:rFonts w:hint="default" w:ascii="Times New Roman" w:hAnsi="Times New Roman" w:cs="Times New Roman"/>
                <w:sz w:val="20"/>
                <w:szCs w:val="20"/>
              </w:rPr>
              <w:t xml:space="preserve">Otherwise,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 dB is fulfilled,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250E138E">
            <w:pPr>
              <w:pStyle w:val="2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I</w:t>
            </w:r>
            <w:r>
              <w:rPr>
                <w:rFonts w:hint="default" w:ascii="Times New Roman" w:hAnsi="Times New Roman" w:cs="Times New Roman"/>
                <w:sz w:val="20"/>
                <w:szCs w:val="20"/>
                <w:lang w:eastAsia="zh-CN"/>
              </w:rPr>
              <w:t xml:space="preserve">f UE supports </w:t>
            </w:r>
            <w:r>
              <w:rPr>
                <w:rFonts w:hint="default" w:ascii="Times New Roman" w:hAnsi="Times New Roman" w:cs="Times New Roman"/>
                <w:i/>
                <w:iCs/>
                <w:sz w:val="20"/>
                <w:szCs w:val="20"/>
                <w:lang w:eastAsia="zh-CN"/>
              </w:rPr>
              <w:t>shortMeasInterval-r18</w:t>
            </w:r>
            <w:r>
              <w:rPr>
                <w:rFonts w:hint="default" w:ascii="Times New Roman" w:hAnsi="Times New Roman" w:cs="Times New Roman"/>
                <w:sz w:val="20"/>
                <w:szCs w:val="20"/>
                <w:lang w:eastAsia="zh-CN"/>
              </w:rPr>
              <w:t>, then</w:t>
            </w:r>
          </w:p>
          <w:p w14:paraId="2810F9BE">
            <w:pPr>
              <w:pStyle w:val="2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6 ms + T</w:t>
            </w:r>
            <w:r>
              <w:rPr>
                <w:rFonts w:hint="default" w:ascii="Times New Roman" w:hAnsi="Times New Roman" w:cs="Times New Roman"/>
                <w:sz w:val="20"/>
                <w:szCs w:val="20"/>
                <w:vertAlign w:val="subscript"/>
                <w:lang w:eastAsia="zh-CN"/>
              </w:rPr>
              <w:t>FirstSSB_MAX, enhanced</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SMTC_MAX, enhanced</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rs, enhanced</w:t>
            </w:r>
            <w:r>
              <w:rPr>
                <w:rFonts w:hint="default" w:ascii="Times New Roman" w:hAnsi="Times New Roman" w:cs="Times New Roman"/>
                <w:sz w:val="20"/>
                <w:szCs w:val="20"/>
                <w:lang w:eastAsia="zh-CN"/>
              </w:rPr>
              <w:t xml:space="preserve"> +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 enhanced_measure</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L1-RSRP, report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HARQ</w:t>
            </w:r>
            <w:r>
              <w:rPr>
                <w:rFonts w:hint="default" w:ascii="Times New Roman" w:hAnsi="Times New Roman" w:cs="Times New Roman"/>
                <w:sz w:val="20"/>
                <w:szCs w:val="20"/>
                <w:lang w:eastAsia="zh-CN"/>
              </w:rPr>
              <w:t xml:space="preserve"> + 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xml:space="preserve"> + 2 ms, 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 if semi-persistent CSI-RS is used for CSI reporting,</w:t>
            </w:r>
          </w:p>
          <w:p w14:paraId="2E49A89E">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 ms + T</w:t>
            </w:r>
            <w:r>
              <w:rPr>
                <w:rFonts w:hint="default" w:ascii="Times New Roman" w:hAnsi="Times New Roman" w:cs="Times New Roman"/>
                <w:sz w:val="20"/>
                <w:szCs w:val="20"/>
                <w:vertAlign w:val="subscript"/>
              </w:rPr>
              <w:t>FirstSSB_MAX, enhanced</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SMTC_MAX, enhanced</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 enhanced</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 enhanced_measure</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 ,report</w:t>
            </w:r>
            <w:r>
              <w:rPr>
                <w:rFonts w:hint="default" w:ascii="Times New Roman" w:hAnsi="Times New Roman" w:cs="Times New Roman"/>
                <w:sz w:val="20"/>
                <w:szCs w:val="20"/>
              </w:rPr>
              <w:t xml:space="preserve"> + max(T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+ 5 ms + T</w:t>
            </w:r>
            <w:r>
              <w:rPr>
                <w:rFonts w:hint="default" w:ascii="Times New Roman" w:hAnsi="Times New Roman" w:cs="Times New Roman"/>
                <w:sz w:val="20"/>
                <w:szCs w:val="20"/>
                <w:vertAlign w:val="subscript"/>
              </w:rPr>
              <w:t>FineTiming</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uncertainty_RRC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RRC_delay</w:t>
            </w:r>
            <w:r>
              <w:rPr>
                <w:rFonts w:hint="default" w:ascii="Times New Roman" w:hAnsi="Times New Roman" w:cs="Times New Roman"/>
                <w:sz w:val="20"/>
                <w:szCs w:val="20"/>
              </w:rPr>
              <w:t>), if periodic CSI-RS is used for CSI reporting.</w:t>
            </w:r>
          </w:p>
          <w:p w14:paraId="55CEBB57">
            <w:pPr>
              <w:pStyle w:val="2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Otherwise</w:t>
            </w:r>
          </w:p>
          <w:p w14:paraId="7BDC31A7">
            <w:pPr>
              <w:pStyle w:val="2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6 ms + T</w:t>
            </w:r>
            <w:r>
              <w:rPr>
                <w:rFonts w:hint="default" w:ascii="Times New Roman" w:hAnsi="Times New Roman" w:cs="Times New Roman"/>
                <w:sz w:val="20"/>
                <w:szCs w:val="20"/>
                <w:vertAlign w:val="subscript"/>
                <w:lang w:eastAsia="zh-CN"/>
              </w:rPr>
              <w:t>FirstSSB_MAX</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SMTC_MAX</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L1-RSRP, measure</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L1-RSRP,report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HARQ</w:t>
            </w:r>
            <w:r>
              <w:rPr>
                <w:rFonts w:hint="default" w:ascii="Times New Roman" w:hAnsi="Times New Roman" w:cs="Times New Roman"/>
                <w:sz w:val="20"/>
                <w:szCs w:val="20"/>
                <w:lang w:eastAsia="zh-CN"/>
              </w:rPr>
              <w:t xml:space="preserve"> + 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xml:space="preserve"> + 2 ms, 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 if semi-persistent CSI-RS is used for CSI reporting,</w:t>
            </w:r>
          </w:p>
          <w:p w14:paraId="2E32E1A1">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 ms + 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SMTC_MAX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 measure</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L1-RSRP,report</w:t>
            </w:r>
            <w:r>
              <w:rPr>
                <w:rFonts w:hint="default" w:ascii="Times New Roman" w:hAnsi="Times New Roman" w:cs="Times New Roman"/>
                <w:sz w:val="20"/>
                <w:szCs w:val="20"/>
              </w:rPr>
              <w:t xml:space="preserve"> + max(T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+ 5 ms + T</w:t>
            </w:r>
            <w:r>
              <w:rPr>
                <w:rFonts w:hint="default" w:ascii="Times New Roman" w:hAnsi="Times New Roman" w:cs="Times New Roman"/>
                <w:sz w:val="20"/>
                <w:szCs w:val="20"/>
                <w:vertAlign w:val="subscript"/>
              </w:rPr>
              <w:t>FineTiming</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uncertainty_RRC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RRC_delay</w:t>
            </w:r>
            <w:r>
              <w:rPr>
                <w:rFonts w:hint="default" w:ascii="Times New Roman" w:hAnsi="Times New Roman" w:cs="Times New Roman"/>
                <w:sz w:val="20"/>
                <w:szCs w:val="20"/>
              </w:rPr>
              <w:t>), if periodic CSI-RS is used for CSI reporting.</w:t>
            </w:r>
          </w:p>
          <w:p w14:paraId="4F509ABC">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w:t>
            </w:r>
          </w:p>
        </w:tc>
      </w:tr>
    </w:tbl>
    <w:p w14:paraId="0FCA79E2">
      <w:pPr>
        <w:spacing w:after="180" w:line="240" w:lineRule="exact"/>
        <w:rPr>
          <w:rFonts w:hint="default" w:ascii="Times New Roman" w:hAnsi="Times New Roman" w:eastAsia="等线"/>
          <w:bCs/>
          <w:iCs/>
          <w:sz w:val="20"/>
          <w:szCs w:val="20"/>
          <w:lang w:val="en-US" w:eastAsia="zh-CN"/>
        </w:rPr>
      </w:pPr>
    </w:p>
    <w:p w14:paraId="1ECE285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the above example spec is not friendly for reader, and very easy to make mistake when adding requirements on top of these later . This issue also exits in other sections where there are many conditions for a scenario or requirements. One solution is to avoid specify requirements with too many conditions. However, in our view, this solution may not workable. There are many cases, especially for RRM discussion, need to be considered.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more, complex conditions may not be avoided due to interactions between multiple features. To clearly define the requirements, it is necessary to clarify the applied conditions. Another solution is to adopt pseudo-code approach as RAN2 spec.</w:t>
      </w:r>
    </w:p>
    <w:p w14:paraId="2AE814B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adopt pseudo-code approach instead of hierarchy of indent when drafting requirements with complex logic.</w:t>
      </w:r>
    </w:p>
    <w:p w14:paraId="4666ED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issue which has impact on specification quality is duplication of requirements. If we look at current specification, there are many duplication and repetition of requirements for different scenarios and use cases. This increases the burden of maintaining the specifications. It is necessary to discuss how to reduce the requirements duplication.</w:t>
      </w:r>
    </w:p>
    <w:p w14:paraId="527F67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lists the candidate options:</w:t>
      </w:r>
    </w:p>
    <w:p w14:paraId="43686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1: Add paragraph numbering to some paragraphs, and using these numbers to refer to identical paragraphs without any text changes. </w:t>
      </w:r>
    </w:p>
    <w:p w14:paraId="337A44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Block-based method, i.e. capture similar requirements just in one place and refer this part if needed.</w:t>
      </w:r>
    </w:p>
    <w:p w14:paraId="43899FD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Introduce an applicability description in relevant sections and define different parameter values for each relevant parameter for the different scenarios, use cases etc.</w:t>
      </w:r>
    </w:p>
    <w:p w14:paraId="48ABE33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to avoid the duplication issue in the specification, it is proposed to consider following options:</w:t>
      </w:r>
    </w:p>
    <w:p w14:paraId="4E557458">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C0170A3">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6F5D22F8">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6BA92DE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RAN4#116 meeting, in total, 3176 contributions are uploaded. Among them, about 1800 documents are CR/pCR/ darft CR, which more than 50% of the total number of Tdocs. This is the typical case at the end of a WI. Large number of </w:t>
      </w:r>
      <w:r>
        <w:rPr>
          <w:rFonts w:hint="default" w:ascii="Times New Roman" w:hAnsi="Times New Roman" w:eastAsia="等线"/>
          <w:bCs/>
          <w:iCs/>
          <w:sz w:val="20"/>
          <w:szCs w:val="20"/>
          <w:lang w:val="en-US" w:eastAsia="zh-CN"/>
        </w:rPr>
        <w:t>CRs are sent out for review</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 xml:space="preserve">during </w:t>
      </w:r>
      <w:r>
        <w:rPr>
          <w:rFonts w:hint="eastAsia" w:ascii="Times New Roman" w:hAnsi="Times New Roman" w:eastAsia="等线"/>
          <w:bCs/>
          <w:iCs/>
          <w:sz w:val="20"/>
          <w:szCs w:val="20"/>
          <w:lang w:val="en-US" w:eastAsia="zh-CN"/>
        </w:rPr>
        <w:t xml:space="preserve">the </w:t>
      </w:r>
      <w:r>
        <w:rPr>
          <w:rFonts w:hint="default" w:ascii="Times New Roman" w:hAnsi="Times New Roman" w:eastAsia="等线"/>
          <w:bCs/>
          <w:iCs/>
          <w:sz w:val="20"/>
          <w:szCs w:val="20"/>
          <w:lang w:val="en-US" w:eastAsia="zh-CN"/>
        </w:rPr>
        <w:t>final days of meeting</w:t>
      </w:r>
      <w:r>
        <w:rPr>
          <w:rFonts w:hint="eastAsia" w:ascii="Times New Roman" w:hAnsi="Times New Roman" w:eastAsia="等线"/>
          <w:bCs/>
          <w:iCs/>
          <w:sz w:val="20"/>
          <w:szCs w:val="20"/>
          <w:lang w:val="en-US" w:eastAsia="zh-CN"/>
        </w:rPr>
        <w:t xml:space="preserve">. Due to lack of time for careful check, many </w:t>
      </w:r>
      <w:r>
        <w:rPr>
          <w:rFonts w:hint="default" w:ascii="Times New Roman" w:hAnsi="Times New Roman" w:eastAsia="等线"/>
          <w:bCs/>
          <w:iCs/>
          <w:sz w:val="20"/>
          <w:szCs w:val="20"/>
          <w:lang w:val="en-US" w:eastAsia="zh-CN"/>
        </w:rPr>
        <w:t>typos and errors</w:t>
      </w:r>
      <w:r>
        <w:rPr>
          <w:rFonts w:hint="eastAsia" w:ascii="Times New Roman" w:hAnsi="Times New Roman" w:eastAsia="等线"/>
          <w:bCs/>
          <w:iCs/>
          <w:sz w:val="20"/>
          <w:szCs w:val="20"/>
          <w:lang w:val="en-US" w:eastAsia="zh-CN"/>
        </w:rPr>
        <w:t xml:space="preserve"> are introduced to the specification, which also increase the burden of maintaining the specifications.</w:t>
      </w:r>
      <w:r>
        <w:rPr>
          <w:rFonts w:hint="default" w:ascii="Times New Roman" w:hAnsi="Times New Roman" w:eastAsia="等线"/>
          <w:bCs/>
          <w:iCs/>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5D018C2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 solve the issue, following list the candidate solutions for CR handling, which can be used as starting point to discuss the CR handling</w:t>
      </w:r>
    </w:p>
    <w:p w14:paraId="283460AD">
      <w:pPr>
        <w:numPr>
          <w:ilvl w:val="0"/>
          <w:numId w:val="5"/>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Adopt running CR approach as in RAN1/2</w:t>
      </w:r>
    </w:p>
    <w:p w14:paraId="7C6D9DEB">
      <w:pPr>
        <w:numPr>
          <w:ilvl w:val="0"/>
          <w:numId w:val="5"/>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Appoint big CR editor/section editor</w:t>
      </w:r>
    </w:p>
    <w:p w14:paraId="7DC244B8">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CR handling, it is proposed to consider following options</w:t>
      </w:r>
    </w:p>
    <w:bookmarkEnd w:id="6"/>
    <w:bookmarkEnd w:id="7"/>
    <w:p w14:paraId="16789BD7">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default" w:ascii="Times New Roman" w:hAnsi="Times New Roman" w:eastAsia="等线"/>
          <w:b/>
          <w:bCs w:val="0"/>
          <w:i/>
          <w:iCs w:val="0"/>
          <w:sz w:val="20"/>
          <w:szCs w:val="20"/>
          <w:lang w:val="en-US" w:eastAsia="zh-CN"/>
        </w:rPr>
        <w:t>Adopt running CR approach as in RAN1/2</w:t>
      </w:r>
    </w:p>
    <w:p w14:paraId="357BFE6F">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default" w:ascii="Times New Roman" w:hAnsi="Times New Roman" w:eastAsia="等线"/>
          <w:b/>
          <w:bCs w:val="0"/>
          <w:i/>
          <w:iCs w:val="0"/>
          <w:sz w:val="20"/>
          <w:szCs w:val="20"/>
          <w:lang w:val="en-US" w:eastAsia="zh-CN"/>
        </w:rPr>
        <w:t>Appoint big CR editor/section editor</w:t>
      </w:r>
    </w:p>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operation efficiency</w:t>
      </w:r>
      <w:r>
        <w:rPr>
          <w:rFonts w:hint="eastAsia" w:ascii="Times New Roman" w:hAnsi="Times New Roman"/>
          <w:sz w:val="20"/>
          <w:szCs w:val="20"/>
        </w:rPr>
        <w:t>. The proposals are:</w:t>
      </w:r>
    </w:p>
    <w:p w14:paraId="361FFF7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Taking Rel-19 agreements on spec improvements into account, it is proposed that following aspects need to be avoided for RAN4 6GR specification  </w:t>
      </w:r>
    </w:p>
    <w:p w14:paraId="1031B801">
      <w:pPr>
        <w:pStyle w:val="15"/>
        <w:numPr>
          <w:ilvl w:val="0"/>
          <w:numId w:val="6"/>
        </w:numPr>
        <w:ind w:left="84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0CA11035">
      <w:pPr>
        <w:pStyle w:val="15"/>
        <w:numPr>
          <w:ilvl w:val="0"/>
          <w:numId w:val="6"/>
        </w:numPr>
        <w:ind w:left="84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4F5230D5">
      <w:pPr>
        <w:spacing w:after="180" w:line="240" w:lineRule="exact"/>
        <w:rPr>
          <w:rFonts w:hint="eastAsia" w:ascii="Times New Roman" w:hAnsi="Times New Roman" w:eastAsia="等线"/>
          <w:b/>
          <w:bCs w:val="0"/>
          <w:i/>
          <w:iCs w:val="0"/>
          <w:sz w:val="20"/>
          <w:szCs w:val="20"/>
          <w:lang w:val="en-US" w:eastAsia="zh-CN"/>
        </w:rPr>
      </w:pPr>
    </w:p>
    <w:p w14:paraId="0EC4DB8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adopt pseudo-code approach instead of hierarchy of indent when drafting requirements with complex logic.</w:t>
      </w:r>
    </w:p>
    <w:p w14:paraId="150841FC">
      <w:pPr>
        <w:spacing w:after="180" w:line="240" w:lineRule="exact"/>
        <w:rPr>
          <w:rFonts w:hint="eastAsia" w:ascii="Times New Roman" w:hAnsi="Times New Roman" w:eastAsia="等线"/>
          <w:b/>
          <w:bCs w:val="0"/>
          <w:i/>
          <w:iCs w:val="0"/>
          <w:sz w:val="20"/>
          <w:szCs w:val="20"/>
          <w:lang w:val="en-US" w:eastAsia="zh-CN"/>
        </w:rPr>
      </w:pPr>
    </w:p>
    <w:p w14:paraId="002EAE0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to avoid the duplication issue in the specification, it is proposed to consider following options:</w:t>
      </w:r>
    </w:p>
    <w:p w14:paraId="4E1D0868">
      <w:pPr>
        <w:pStyle w:val="15"/>
        <w:numPr>
          <w:ilvl w:val="0"/>
          <w:numId w:val="6"/>
        </w:numPr>
        <w:ind w:left="840" w:leftChars="0" w:hanging="420" w:firstLineChars="0"/>
        <w:rPr>
          <w:rFonts w:hint="default"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 xml:space="preserve">Option 1: Add paragraph numbering to some paragraphs, and using these numbers to refer to identical paragraphs without any text changes. </w:t>
      </w:r>
    </w:p>
    <w:p w14:paraId="2C8D8041">
      <w:pPr>
        <w:pStyle w:val="15"/>
        <w:numPr>
          <w:ilvl w:val="0"/>
          <w:numId w:val="6"/>
        </w:numPr>
        <w:ind w:left="840" w:leftChars="0" w:hanging="420" w:firstLineChars="0"/>
        <w:rPr>
          <w:rFonts w:hint="default"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Option 2: Block-based method, i.e. capture similar requirements just in one place and refer this part if needed.</w:t>
      </w:r>
    </w:p>
    <w:p w14:paraId="3B505D3A">
      <w:pPr>
        <w:pStyle w:val="15"/>
        <w:numPr>
          <w:ilvl w:val="0"/>
          <w:numId w:val="6"/>
        </w:numPr>
        <w:ind w:left="840" w:leftChars="0" w:hanging="420" w:firstLineChars="0"/>
        <w:rPr>
          <w:rFonts w:hint="default"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43625744">
      <w:pPr>
        <w:numPr>
          <w:ilvl w:val="0"/>
          <w:numId w:val="0"/>
        </w:numPr>
        <w:spacing w:after="180" w:line="240" w:lineRule="exact"/>
        <w:ind w:leftChars="0"/>
        <w:rPr>
          <w:rFonts w:hint="eastAsia" w:ascii="Times New Roman" w:hAnsi="Times New Roman" w:eastAsia="等线"/>
          <w:b/>
          <w:bCs w:val="0"/>
          <w:i/>
          <w:iCs w:val="0"/>
          <w:sz w:val="20"/>
          <w:szCs w:val="20"/>
          <w:lang w:val="en-US" w:eastAsia="zh-CN"/>
        </w:rPr>
      </w:pPr>
    </w:p>
    <w:p w14:paraId="489BCA7C">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CR handling, it is proposed to consider following options</w:t>
      </w:r>
    </w:p>
    <w:p w14:paraId="40300F66">
      <w:pPr>
        <w:pStyle w:val="15"/>
        <w:numPr>
          <w:ilvl w:val="0"/>
          <w:numId w:val="6"/>
        </w:numPr>
        <w:ind w:left="840" w:leftChars="0" w:hanging="420" w:firstLineChars="0"/>
        <w:rPr>
          <w:rFonts w:hint="default" w:ascii="Times New Roman" w:hAnsi="Times New Roman" w:cs="Times New Roman"/>
          <w:b/>
          <w:bCs w:val="0"/>
          <w:i/>
          <w:iCs w:val="0"/>
          <w:sz w:val="20"/>
          <w:szCs w:val="20"/>
          <w:lang w:val="en-US" w:eastAsia="zh-CN"/>
        </w:rPr>
      </w:pPr>
      <w:r>
        <w:rPr>
          <w:rFonts w:hint="default" w:ascii="Times New Roman" w:hAnsi="Times New Roman" w:cs="Times New Roman"/>
          <w:b/>
          <w:bCs w:val="0"/>
          <w:i/>
          <w:iCs w:val="0"/>
          <w:sz w:val="20"/>
          <w:szCs w:val="20"/>
          <w:lang w:val="en-US" w:eastAsia="zh-CN"/>
        </w:rPr>
        <w:t>Adopt running CR approach as in RAN1/2</w:t>
      </w:r>
    </w:p>
    <w:p w14:paraId="31CF00E8">
      <w:pPr>
        <w:pStyle w:val="15"/>
        <w:numPr>
          <w:ilvl w:val="0"/>
          <w:numId w:val="6"/>
        </w:numPr>
        <w:ind w:left="840" w:leftChars="0" w:hanging="420" w:firstLineChars="0"/>
        <w:rPr>
          <w:rFonts w:hint="default" w:ascii="Times New Roman" w:hAnsi="Times New Roman" w:cs="Times New Roman"/>
          <w:b/>
          <w:bCs w:val="0"/>
          <w:i/>
          <w:iCs w:val="0"/>
          <w:sz w:val="20"/>
          <w:szCs w:val="20"/>
          <w:lang w:val="en-US" w:eastAsia="zh-CN"/>
        </w:rPr>
      </w:pPr>
      <w:r>
        <w:rPr>
          <w:rFonts w:hint="default" w:ascii="Times New Roman" w:hAnsi="Times New Roman" w:cs="Times New Roman"/>
          <w:b/>
          <w:bCs w:val="0"/>
          <w:i/>
          <w:iCs w:val="0"/>
          <w:sz w:val="20"/>
          <w:szCs w:val="20"/>
          <w:lang w:val="en-US" w:eastAsia="zh-CN"/>
        </w:rPr>
        <w:t>Appoint big CR editor/section editor</w:t>
      </w:r>
    </w:p>
    <w:p w14:paraId="73215329">
      <w:pPr>
        <w:pStyle w:val="15"/>
        <w:numPr>
          <w:numId w:val="0"/>
        </w:numPr>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43B7D"/>
    <w:multiLevelType w:val="singleLevel"/>
    <w:tmpl w:val="8BA43B7D"/>
    <w:lvl w:ilvl="0" w:tentative="0">
      <w:start w:val="1"/>
      <w:numFmt w:val="bullet"/>
      <w:lvlText w:val=""/>
      <w:lvlJc w:val="left"/>
      <w:pPr>
        <w:tabs>
          <w:tab w:val="left" w:pos="420"/>
        </w:tabs>
        <w:ind w:left="840" w:hanging="420"/>
      </w:pPr>
      <w:rPr>
        <w:rFonts w:hint="default" w:ascii="Wingdings" w:hAnsi="Wingdings"/>
      </w:rPr>
    </w:lvl>
  </w:abstractNum>
  <w:abstractNum w:abstractNumId="1">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6254DA5"/>
    <w:rsid w:val="06E076D6"/>
    <w:rsid w:val="08B50B7B"/>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ECE074D"/>
    <w:rsid w:val="1FDE5642"/>
    <w:rsid w:val="202110DB"/>
    <w:rsid w:val="20A3117D"/>
    <w:rsid w:val="219E0135"/>
    <w:rsid w:val="23D51059"/>
    <w:rsid w:val="23FC482E"/>
    <w:rsid w:val="25C11700"/>
    <w:rsid w:val="29552CDF"/>
    <w:rsid w:val="29932436"/>
    <w:rsid w:val="2BF14216"/>
    <w:rsid w:val="2C401128"/>
    <w:rsid w:val="2CC24862"/>
    <w:rsid w:val="2E9742CA"/>
    <w:rsid w:val="2F3D15B9"/>
    <w:rsid w:val="30696528"/>
    <w:rsid w:val="31890F43"/>
    <w:rsid w:val="33DB32E0"/>
    <w:rsid w:val="33F73CD2"/>
    <w:rsid w:val="342D50A6"/>
    <w:rsid w:val="34453CA2"/>
    <w:rsid w:val="3491789D"/>
    <w:rsid w:val="35D22FBC"/>
    <w:rsid w:val="393E203F"/>
    <w:rsid w:val="39C97388"/>
    <w:rsid w:val="39FB0130"/>
    <w:rsid w:val="3B812128"/>
    <w:rsid w:val="3BFF4ED4"/>
    <w:rsid w:val="3DAC4137"/>
    <w:rsid w:val="3DD71886"/>
    <w:rsid w:val="3DEF01B7"/>
    <w:rsid w:val="3E546750"/>
    <w:rsid w:val="3E9E1A93"/>
    <w:rsid w:val="3EBD67B5"/>
    <w:rsid w:val="42750B50"/>
    <w:rsid w:val="44715EBB"/>
    <w:rsid w:val="46064E72"/>
    <w:rsid w:val="47617B01"/>
    <w:rsid w:val="47E11C0A"/>
    <w:rsid w:val="480239B3"/>
    <w:rsid w:val="48742152"/>
    <w:rsid w:val="4AD66A58"/>
    <w:rsid w:val="4BE64593"/>
    <w:rsid w:val="4D3D03C8"/>
    <w:rsid w:val="4DC1731C"/>
    <w:rsid w:val="4E1736E9"/>
    <w:rsid w:val="4E5A52AA"/>
    <w:rsid w:val="52716224"/>
    <w:rsid w:val="54CA68AA"/>
    <w:rsid w:val="5516017D"/>
    <w:rsid w:val="593772D0"/>
    <w:rsid w:val="59587923"/>
    <w:rsid w:val="5DCC0D69"/>
    <w:rsid w:val="5E59533E"/>
    <w:rsid w:val="5EED722B"/>
    <w:rsid w:val="6037300A"/>
    <w:rsid w:val="61554B37"/>
    <w:rsid w:val="627A171F"/>
    <w:rsid w:val="62BA6389"/>
    <w:rsid w:val="63860958"/>
    <w:rsid w:val="63AA2F5C"/>
    <w:rsid w:val="64D4424F"/>
    <w:rsid w:val="65991FE6"/>
    <w:rsid w:val="65E96850"/>
    <w:rsid w:val="67010C05"/>
    <w:rsid w:val="6701538B"/>
    <w:rsid w:val="68B305D5"/>
    <w:rsid w:val="68B74A5D"/>
    <w:rsid w:val="68DA43C8"/>
    <w:rsid w:val="6A356F1A"/>
    <w:rsid w:val="6AC458C1"/>
    <w:rsid w:val="6B380692"/>
    <w:rsid w:val="6C8E3A48"/>
    <w:rsid w:val="6D205895"/>
    <w:rsid w:val="6DCF5B71"/>
    <w:rsid w:val="6E54240F"/>
    <w:rsid w:val="6F3538B4"/>
    <w:rsid w:val="6F984846"/>
    <w:rsid w:val="715440AF"/>
    <w:rsid w:val="721B1B84"/>
    <w:rsid w:val="724D5513"/>
    <w:rsid w:val="739A5EFA"/>
    <w:rsid w:val="753E3654"/>
    <w:rsid w:val="75886832"/>
    <w:rsid w:val="77D070AC"/>
    <w:rsid w:val="78CB296A"/>
    <w:rsid w:val="79CD59E4"/>
    <w:rsid w:val="79D9262A"/>
    <w:rsid w:val="7A4603DC"/>
    <w:rsid w:val="7AB15C57"/>
    <w:rsid w:val="7B110F3C"/>
    <w:rsid w:val="7BD9715F"/>
    <w:rsid w:val="7C3F4164"/>
    <w:rsid w:val="7D8F7DF3"/>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2025-09-29T03:34:07Z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